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D511" w14:textId="77777777" w:rsidR="008C7C19" w:rsidRPr="008C7C19" w:rsidRDefault="002411D4" w:rsidP="008C7C19">
      <w:pPr>
        <w:spacing w:after="120" w:line="324" w:lineRule="atLeast"/>
        <w:outlineLvl w:val="1"/>
        <w:rPr>
          <w:rFonts w:ascii="Segoe UI" w:hAnsi="Segoe UI" w:cs="Segoe UI"/>
          <w:b/>
          <w:bCs/>
          <w:color w:val="4C4C4C"/>
          <w:sz w:val="27"/>
          <w:szCs w:val="27"/>
        </w:rPr>
      </w:pPr>
      <w:r>
        <w:rPr>
          <w:rFonts w:ascii="Segoe UI" w:hAnsi="Segoe UI" w:cs="Segoe UI"/>
          <w:b/>
          <w:bCs/>
          <w:color w:val="4C4C4C"/>
          <w:sz w:val="27"/>
          <w:szCs w:val="27"/>
        </w:rPr>
        <w:t xml:space="preserve">Sample Size Calculator - </w:t>
      </w:r>
      <w:r w:rsidR="008C7C19" w:rsidRPr="008C7C19">
        <w:rPr>
          <w:rFonts w:ascii="Segoe UI" w:hAnsi="Segoe UI" w:cs="Segoe UI"/>
          <w:b/>
          <w:bCs/>
          <w:color w:val="4C4C4C"/>
          <w:sz w:val="27"/>
          <w:szCs w:val="27"/>
        </w:rPr>
        <w:t>Example of type I and type II error</w:t>
      </w:r>
      <w:r>
        <w:rPr>
          <w:rFonts w:ascii="Segoe UI" w:hAnsi="Segoe UI" w:cs="Segoe UI"/>
          <w:b/>
          <w:bCs/>
          <w:color w:val="4C4C4C"/>
          <w:sz w:val="27"/>
          <w:szCs w:val="27"/>
        </w:rPr>
        <w:t xml:space="preserve"> </w:t>
      </w:r>
    </w:p>
    <w:p w14:paraId="622FCB0F" w14:textId="77777777" w:rsidR="008C7C19" w:rsidRPr="008C7C19" w:rsidRDefault="008C7C19" w:rsidP="008C7C19">
      <w:pPr>
        <w:spacing w:after="240" w:line="315" w:lineRule="atLeast"/>
        <w:rPr>
          <w:rFonts w:ascii="Segoe UI" w:hAnsi="Segoe UI" w:cs="Segoe UI"/>
          <w:color w:val="4C4C4C"/>
          <w:sz w:val="21"/>
          <w:szCs w:val="21"/>
        </w:rPr>
      </w:pPr>
      <w:r w:rsidRPr="008C7C19">
        <w:rPr>
          <w:rFonts w:ascii="Segoe UI" w:hAnsi="Segoe UI" w:cs="Segoe UI"/>
          <w:color w:val="4C4C4C"/>
          <w:sz w:val="21"/>
          <w:szCs w:val="21"/>
        </w:rPr>
        <w:t>To understand the interrelationship between type I and type II error, and to determine which error has more severe consequences for your situation, consider the following example.</w:t>
      </w:r>
    </w:p>
    <w:p w14:paraId="5E8DEF24" w14:textId="77777777" w:rsidR="008C7C19" w:rsidRPr="008C7C19" w:rsidRDefault="008C7C19" w:rsidP="008C7C19">
      <w:pPr>
        <w:spacing w:line="315" w:lineRule="atLeast"/>
        <w:rPr>
          <w:rFonts w:ascii="Segoe UI" w:hAnsi="Segoe UI" w:cs="Segoe UI"/>
          <w:color w:val="4C4C4C"/>
          <w:sz w:val="21"/>
          <w:szCs w:val="21"/>
        </w:rPr>
      </w:pPr>
      <w:r w:rsidRPr="008C7C19">
        <w:rPr>
          <w:rFonts w:ascii="Segoe UI" w:hAnsi="Segoe UI" w:cs="Segoe UI"/>
          <w:color w:val="4C4C4C"/>
          <w:sz w:val="21"/>
          <w:szCs w:val="21"/>
        </w:rPr>
        <w:t>A medical researcher wants to compare the effectiveness of two medications. The null and alternative hypotheses are:</w:t>
      </w:r>
    </w:p>
    <w:p w14:paraId="061C191D" w14:textId="77777777" w:rsidR="008C7C19" w:rsidRPr="008C7C19" w:rsidRDefault="008C7C19" w:rsidP="008C7C19">
      <w:pPr>
        <w:numPr>
          <w:ilvl w:val="0"/>
          <w:numId w:val="1"/>
        </w:numPr>
        <w:spacing w:after="120" w:line="315" w:lineRule="atLeast"/>
        <w:ind w:left="0"/>
        <w:rPr>
          <w:rFonts w:ascii="Segoe UI" w:hAnsi="Segoe UI" w:cs="Segoe UI"/>
          <w:color w:val="4C4C4C"/>
          <w:sz w:val="21"/>
          <w:szCs w:val="21"/>
        </w:rPr>
      </w:pPr>
      <w:r w:rsidRPr="008C7C19">
        <w:rPr>
          <w:rFonts w:ascii="Segoe UI" w:hAnsi="Segoe UI" w:cs="Segoe UI"/>
          <w:color w:val="4C4C4C"/>
          <w:sz w:val="21"/>
          <w:szCs w:val="21"/>
        </w:rPr>
        <w:t>Null hypothesis (H</w:t>
      </w:r>
      <w:r w:rsidRPr="008C7C19">
        <w:rPr>
          <w:rFonts w:ascii="Segoe UI" w:hAnsi="Segoe UI" w:cs="Segoe UI"/>
          <w:color w:val="4C4C4C"/>
          <w:sz w:val="16"/>
          <w:szCs w:val="16"/>
          <w:vertAlign w:val="subscript"/>
        </w:rPr>
        <w:t>0</w:t>
      </w:r>
      <w:r w:rsidRPr="008C7C19">
        <w:rPr>
          <w:rFonts w:ascii="Segoe UI" w:hAnsi="Segoe UI" w:cs="Segoe UI"/>
          <w:color w:val="4C4C4C"/>
          <w:sz w:val="21"/>
          <w:szCs w:val="21"/>
        </w:rPr>
        <w:t>): μ</w:t>
      </w:r>
      <w:r w:rsidRPr="008C7C19">
        <w:rPr>
          <w:rFonts w:ascii="Segoe UI" w:hAnsi="Segoe UI" w:cs="Segoe UI"/>
          <w:color w:val="4C4C4C"/>
          <w:sz w:val="16"/>
          <w:szCs w:val="16"/>
          <w:vertAlign w:val="subscript"/>
        </w:rPr>
        <w:t>1</w:t>
      </w:r>
      <w:r w:rsidRPr="008C7C19">
        <w:rPr>
          <w:rFonts w:ascii="Segoe UI" w:hAnsi="Segoe UI" w:cs="Segoe UI"/>
          <w:color w:val="4C4C4C"/>
          <w:sz w:val="21"/>
          <w:szCs w:val="21"/>
        </w:rPr>
        <w:t>= μ</w:t>
      </w:r>
      <w:r w:rsidRPr="008C7C19">
        <w:rPr>
          <w:rFonts w:ascii="Segoe UI" w:hAnsi="Segoe UI" w:cs="Segoe UI"/>
          <w:color w:val="4C4C4C"/>
          <w:sz w:val="16"/>
          <w:szCs w:val="16"/>
          <w:vertAlign w:val="subscript"/>
        </w:rPr>
        <w:t>2</w:t>
      </w:r>
    </w:p>
    <w:p w14:paraId="7EFC29A0" w14:textId="77777777" w:rsidR="008C7C19" w:rsidRPr="008C7C19" w:rsidRDefault="008C7C19" w:rsidP="008C7C19">
      <w:pPr>
        <w:spacing w:after="120" w:line="315" w:lineRule="atLeast"/>
        <w:rPr>
          <w:rFonts w:ascii="Segoe UI" w:hAnsi="Segoe UI" w:cs="Segoe UI"/>
          <w:color w:val="4C4C4C"/>
          <w:sz w:val="21"/>
          <w:szCs w:val="21"/>
        </w:rPr>
      </w:pPr>
      <w:r w:rsidRPr="008C7C19">
        <w:rPr>
          <w:rFonts w:ascii="Segoe UI" w:hAnsi="Segoe UI" w:cs="Segoe UI"/>
          <w:color w:val="4C4C4C"/>
          <w:sz w:val="21"/>
          <w:szCs w:val="21"/>
        </w:rPr>
        <w:t>The two medications are equally effective.</w:t>
      </w:r>
    </w:p>
    <w:p w14:paraId="2AD5D2E4" w14:textId="77777777" w:rsidR="008C7C19" w:rsidRPr="008C7C19" w:rsidRDefault="008C7C19" w:rsidP="008C7C19">
      <w:pPr>
        <w:numPr>
          <w:ilvl w:val="0"/>
          <w:numId w:val="1"/>
        </w:numPr>
        <w:spacing w:after="120" w:line="315" w:lineRule="atLeast"/>
        <w:ind w:left="0"/>
        <w:rPr>
          <w:rFonts w:ascii="Segoe UI" w:hAnsi="Segoe UI" w:cs="Segoe UI"/>
          <w:color w:val="4C4C4C"/>
          <w:sz w:val="21"/>
          <w:szCs w:val="21"/>
        </w:rPr>
      </w:pPr>
      <w:r w:rsidRPr="008C7C19">
        <w:rPr>
          <w:rFonts w:ascii="Segoe UI" w:hAnsi="Segoe UI" w:cs="Segoe UI"/>
          <w:color w:val="4C4C4C"/>
          <w:sz w:val="21"/>
          <w:szCs w:val="21"/>
        </w:rPr>
        <w:t>Alternative hypothesis (H</w:t>
      </w:r>
      <w:r w:rsidRPr="008C7C19">
        <w:rPr>
          <w:rFonts w:ascii="Segoe UI" w:hAnsi="Segoe UI" w:cs="Segoe UI"/>
          <w:color w:val="4C4C4C"/>
          <w:sz w:val="16"/>
          <w:szCs w:val="16"/>
          <w:vertAlign w:val="subscript"/>
        </w:rPr>
        <w:t>1</w:t>
      </w:r>
      <w:r w:rsidRPr="008C7C19">
        <w:rPr>
          <w:rFonts w:ascii="Segoe UI" w:hAnsi="Segoe UI" w:cs="Segoe UI"/>
          <w:color w:val="4C4C4C"/>
          <w:sz w:val="21"/>
          <w:szCs w:val="21"/>
        </w:rPr>
        <w:t>): μ</w:t>
      </w:r>
      <w:r w:rsidRPr="008C7C19">
        <w:rPr>
          <w:rFonts w:ascii="Segoe UI" w:hAnsi="Segoe UI" w:cs="Segoe UI"/>
          <w:color w:val="4C4C4C"/>
          <w:sz w:val="16"/>
          <w:szCs w:val="16"/>
          <w:vertAlign w:val="subscript"/>
        </w:rPr>
        <w:t>1</w:t>
      </w:r>
      <w:r w:rsidRPr="008C7C19">
        <w:rPr>
          <w:rFonts w:ascii="Segoe UI" w:hAnsi="Segoe UI" w:cs="Segoe UI"/>
          <w:color w:val="4C4C4C"/>
          <w:sz w:val="21"/>
          <w:szCs w:val="21"/>
        </w:rPr>
        <w:t>≠ μ</w:t>
      </w:r>
      <w:r w:rsidRPr="008C7C19">
        <w:rPr>
          <w:rFonts w:ascii="Segoe UI" w:hAnsi="Segoe UI" w:cs="Segoe UI"/>
          <w:color w:val="4C4C4C"/>
          <w:sz w:val="16"/>
          <w:szCs w:val="16"/>
          <w:vertAlign w:val="subscript"/>
        </w:rPr>
        <w:t>2</w:t>
      </w:r>
    </w:p>
    <w:p w14:paraId="680840BA" w14:textId="77777777" w:rsidR="008C7C19" w:rsidRPr="008C7C19" w:rsidRDefault="008C7C19" w:rsidP="008C7C19">
      <w:pPr>
        <w:spacing w:line="315" w:lineRule="atLeast"/>
        <w:rPr>
          <w:rFonts w:ascii="Segoe UI" w:hAnsi="Segoe UI" w:cs="Segoe UI"/>
          <w:color w:val="4C4C4C"/>
          <w:sz w:val="21"/>
          <w:szCs w:val="21"/>
        </w:rPr>
      </w:pPr>
      <w:r w:rsidRPr="008C7C19">
        <w:rPr>
          <w:rFonts w:ascii="Segoe UI" w:hAnsi="Segoe UI" w:cs="Segoe UI"/>
          <w:color w:val="4C4C4C"/>
          <w:sz w:val="21"/>
          <w:szCs w:val="21"/>
        </w:rPr>
        <w:t>The two medications are not equally effective.</w:t>
      </w:r>
    </w:p>
    <w:p w14:paraId="1FA81FDA" w14:textId="77777777" w:rsidR="008C7C19" w:rsidRPr="008C7C19" w:rsidRDefault="008C7C19" w:rsidP="008C7C19">
      <w:pPr>
        <w:spacing w:after="240" w:line="315" w:lineRule="atLeast"/>
        <w:rPr>
          <w:rFonts w:ascii="Segoe UI" w:hAnsi="Segoe UI" w:cs="Segoe UI"/>
          <w:color w:val="4C4C4C"/>
          <w:sz w:val="21"/>
          <w:szCs w:val="21"/>
        </w:rPr>
      </w:pPr>
      <w:r w:rsidRPr="008C7C19">
        <w:rPr>
          <w:rFonts w:ascii="Segoe UI" w:hAnsi="Segoe UI" w:cs="Segoe UI"/>
          <w:color w:val="4C4C4C"/>
          <w:sz w:val="21"/>
          <w:szCs w:val="21"/>
        </w:rPr>
        <w:t>A type I error occurs if the researcher rejects the null hypothesis and concludes that the two medications are different when, in fact, they are not. If the medications have the same effectiveness, the researcher may not consider this error too severe because the patients still benefit from the same level of effectiveness regardless of which medicine they take. However, if a type II error occurs, the researcher fails to reject the null hypothesis when it should be rejected. That is, the researcher concludes that the medications are the same when, in fact, they are different. This error is potentially life-threatening if the less-effective medication is sold to the public instead of the more effective one.</w:t>
      </w:r>
    </w:p>
    <w:p w14:paraId="0FDAA07A" w14:textId="76CB9B44" w:rsidR="008C7C19" w:rsidRPr="008C7C19" w:rsidRDefault="008C7C19" w:rsidP="008C7C19">
      <w:pPr>
        <w:spacing w:after="240" w:line="315" w:lineRule="atLeast"/>
        <w:rPr>
          <w:rFonts w:ascii="Segoe UI" w:hAnsi="Segoe UI" w:cs="Segoe UI"/>
          <w:color w:val="4C4C4C"/>
          <w:sz w:val="21"/>
          <w:szCs w:val="21"/>
        </w:rPr>
      </w:pPr>
      <w:r w:rsidRPr="008C7C19">
        <w:rPr>
          <w:rFonts w:ascii="Segoe UI" w:hAnsi="Segoe UI" w:cs="Segoe UI"/>
          <w:color w:val="4C4C4C"/>
          <w:sz w:val="21"/>
          <w:szCs w:val="21"/>
        </w:rPr>
        <w:t xml:space="preserve">As you conduct your </w:t>
      </w:r>
      <w:r w:rsidR="00C60FBF">
        <w:rPr>
          <w:rFonts w:ascii="Segoe UI" w:hAnsi="Segoe UI" w:cs="Segoe UI"/>
          <w:color w:val="4C4C4C"/>
          <w:sz w:val="21"/>
          <w:szCs w:val="21"/>
        </w:rPr>
        <w:t>sampling</w:t>
      </w:r>
      <w:r w:rsidRPr="008C7C19">
        <w:rPr>
          <w:rFonts w:ascii="Segoe UI" w:hAnsi="Segoe UI" w:cs="Segoe UI"/>
          <w:color w:val="4C4C4C"/>
          <w:sz w:val="21"/>
          <w:szCs w:val="21"/>
        </w:rPr>
        <w:t xml:space="preserve">, consider the risks of making type I and type II errors. If the consequences of making one type of error are more severe or costly than making the other type of error, then choose a level of significance and a power for the </w:t>
      </w:r>
      <w:r w:rsidR="00C60FBF">
        <w:rPr>
          <w:rFonts w:ascii="Segoe UI" w:hAnsi="Segoe UI" w:cs="Segoe UI"/>
          <w:color w:val="4C4C4C"/>
          <w:sz w:val="21"/>
          <w:szCs w:val="21"/>
        </w:rPr>
        <w:t>sampling</w:t>
      </w:r>
      <w:bookmarkStart w:id="0" w:name="_GoBack"/>
      <w:bookmarkEnd w:id="0"/>
      <w:r w:rsidRPr="008C7C19">
        <w:rPr>
          <w:rFonts w:ascii="Segoe UI" w:hAnsi="Segoe UI" w:cs="Segoe UI"/>
          <w:color w:val="4C4C4C"/>
          <w:sz w:val="21"/>
          <w:szCs w:val="21"/>
        </w:rPr>
        <w:t xml:space="preserve"> that will reflect the relative severity of those consequences.</w:t>
      </w:r>
    </w:p>
    <w:p w14:paraId="514B173A" w14:textId="77777777" w:rsidR="007F1172" w:rsidRDefault="007F1172"/>
    <w:sectPr w:rsidR="007F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849"/>
    <w:multiLevelType w:val="multilevel"/>
    <w:tmpl w:val="0016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C305F"/>
    <w:multiLevelType w:val="multilevel"/>
    <w:tmpl w:val="B0C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19"/>
    <w:rsid w:val="002411D4"/>
    <w:rsid w:val="00535A5F"/>
    <w:rsid w:val="007F1172"/>
    <w:rsid w:val="008C7C19"/>
    <w:rsid w:val="00C60FBF"/>
    <w:rsid w:val="00F0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6DBF"/>
  <w15:docId w15:val="{9F41A574-E25E-4E1E-B79A-09AE3925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NoSpacing"/>
    <w:qFormat/>
    <w:rsid w:val="00535A5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5A5F"/>
    <w:rPr>
      <w:rFonts w:ascii="Arial" w:eastAsiaTheme="majorEastAsia" w:hAnsi="Arial" w:cstheme="majorBidi"/>
      <w:sz w:val="20"/>
      <w:szCs w:val="20"/>
    </w:rPr>
  </w:style>
  <w:style w:type="paragraph" w:styleId="NoSpacing">
    <w:name w:val="No Spacing"/>
    <w:uiPriority w:val="1"/>
    <w:qFormat/>
    <w:rsid w:val="00535A5F"/>
    <w:pPr>
      <w:spacing w:beforeAutospacing="1" w:afterAutospacing="1"/>
    </w:pPr>
    <w:rPr>
      <w:rFonts w:ascii="Calibri" w:hAnsi="Calibri" w:cs="Times New Roman"/>
    </w:rPr>
  </w:style>
  <w:style w:type="paragraph" w:styleId="BalloonText">
    <w:name w:val="Balloon Text"/>
    <w:basedOn w:val="Normal"/>
    <w:link w:val="BalloonTextChar"/>
    <w:uiPriority w:val="99"/>
    <w:semiHidden/>
    <w:unhideWhenUsed/>
    <w:rsid w:val="00241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00320">
      <w:bodyDiv w:val="1"/>
      <w:marLeft w:val="0"/>
      <w:marRight w:val="0"/>
      <w:marTop w:val="0"/>
      <w:marBottom w:val="0"/>
      <w:divBdr>
        <w:top w:val="none" w:sz="0" w:space="0" w:color="auto"/>
        <w:left w:val="none" w:sz="0" w:space="0" w:color="auto"/>
        <w:bottom w:val="none" w:sz="0" w:space="0" w:color="auto"/>
        <w:right w:val="none" w:sz="0" w:space="0" w:color="auto"/>
      </w:divBdr>
      <w:divsChild>
        <w:div w:id="1881820088">
          <w:marLeft w:val="0"/>
          <w:marRight w:val="0"/>
          <w:marTop w:val="0"/>
          <w:marBottom w:val="0"/>
          <w:divBdr>
            <w:top w:val="none" w:sz="0" w:space="0" w:color="auto"/>
            <w:left w:val="none" w:sz="0" w:space="0" w:color="auto"/>
            <w:bottom w:val="none" w:sz="0" w:space="0" w:color="auto"/>
            <w:right w:val="none" w:sz="0" w:space="0" w:color="auto"/>
          </w:divBdr>
          <w:divsChild>
            <w:div w:id="1933390100">
              <w:marLeft w:val="0"/>
              <w:marRight w:val="0"/>
              <w:marTop w:val="0"/>
              <w:marBottom w:val="0"/>
              <w:divBdr>
                <w:top w:val="none" w:sz="0" w:space="0" w:color="auto"/>
                <w:left w:val="none" w:sz="0" w:space="0" w:color="auto"/>
                <w:bottom w:val="none" w:sz="0" w:space="0" w:color="auto"/>
                <w:right w:val="none" w:sz="0" w:space="0" w:color="auto"/>
              </w:divBdr>
              <w:divsChild>
                <w:div w:id="8509518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96044991">
          <w:marLeft w:val="0"/>
          <w:marRight w:val="0"/>
          <w:marTop w:val="0"/>
          <w:marBottom w:val="0"/>
          <w:divBdr>
            <w:top w:val="none" w:sz="0" w:space="0" w:color="auto"/>
            <w:left w:val="none" w:sz="0" w:space="0" w:color="auto"/>
            <w:bottom w:val="none" w:sz="0" w:space="0" w:color="auto"/>
            <w:right w:val="none" w:sz="0" w:space="0" w:color="auto"/>
          </w:divBdr>
          <w:divsChild>
            <w:div w:id="1144463863">
              <w:marLeft w:val="0"/>
              <w:marRight w:val="0"/>
              <w:marTop w:val="0"/>
              <w:marBottom w:val="0"/>
              <w:divBdr>
                <w:top w:val="none" w:sz="0" w:space="0" w:color="auto"/>
                <w:left w:val="none" w:sz="0" w:space="0" w:color="auto"/>
                <w:bottom w:val="none" w:sz="0" w:space="0" w:color="auto"/>
                <w:right w:val="none" w:sz="0" w:space="0" w:color="auto"/>
              </w:divBdr>
              <w:divsChild>
                <w:div w:id="79715540">
                  <w:marLeft w:val="0"/>
                  <w:marRight w:val="0"/>
                  <w:marTop w:val="0"/>
                  <w:marBottom w:val="0"/>
                  <w:divBdr>
                    <w:top w:val="dotted" w:sz="6" w:space="18" w:color="999999"/>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Georgopoulos</dc:creator>
  <cp:lastModifiedBy>Katie Gormas</cp:lastModifiedBy>
  <cp:revision>5</cp:revision>
  <cp:lastPrinted>2016-04-07T18:14:00Z</cp:lastPrinted>
  <dcterms:created xsi:type="dcterms:W3CDTF">2016-04-07T14:20:00Z</dcterms:created>
  <dcterms:modified xsi:type="dcterms:W3CDTF">2016-05-03T15:52:00Z</dcterms:modified>
</cp:coreProperties>
</file>